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6"/>
        </w:rPr>
        <w:t xml:space="preserve">Credenciales, token y entornos</w:t>
      </w:r>
    </w:p>
    <w:p>
      <w:pPr>
        <w:spacing w:before="120"/>
      </w:pPr>
      <w:r>
        <w:rPr>
          <w:b/>
        </w:rPr>
        <w:t xml:space="preserve">Para quién es</w:t>
      </w:r>
    </w:p>
    <w:p>
      <w:r>
        <w:t xml:space="preserve">Desarrollador que acaba de recibir su alta de SPIDI y va a empezar a integrar</w:t>
      </w:r>
    </w:p>
    <w:p>
      <w:pPr>
        <w:spacing w:before="120"/>
      </w:pPr>
      <w:r>
        <w:rPr>
          <w:b/>
        </w:rPr>
        <w:t xml:space="preserve">Qué busca</w:t>
      </w:r>
    </w:p>
    <w:p>
      <w:r>
        <w:t xml:space="preserve">Al terminar, el espectador comprueba que tiene las cinco piezas de su alta ANTES de integrar, sabe cuáles dos no se pueden recuperar después, y sabe obtener y usar su token. Y sabe que al pasar a producción recibe un juego completo nuevo.</w:t>
      </w:r>
    </w:p>
    <w:p>
      <w:pPr>
        <w:spacing w:before="120"/>
      </w:pPr>
      <w:r>
        <w:rPr>
          <w:b/>
        </w:rPr>
        <w:t xml:space="preserve">Duración</w:t>
      </w:r>
    </w:p>
    <w:p>
      <w:r>
        <w:t xml:space="preserve">1:39</w:t>
      </w:r>
    </w:p>
    <w:p>
      <w:pPr>
        <w:spacing w:before="240"/>
      </w:pPr>
      <w:r>
        <w:rPr>
          <w:b/>
          <w:sz w:val="28"/>
        </w:rPr>
        <w:t xml:space="preserve">Escena 1 · 12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Tres cosas antes de recibir pagos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Tres requisitos previos: las credenciales, el token y el entorno.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Antes de recibir pagos necesitas tres cosas: tus credenciales, un token para autenticarte, y saber contra qué entorno apuntas. Las tres se resuelven en unos minutos, pero conviene hacerlo en este orden.</w:t>
      </w:r>
    </w:p>
    <w:p>
      <w:pPr>
        <w:spacing w:before="240"/>
      </w:pPr>
      <w:r>
        <w:rPr>
          <w:b/>
          <w:sz w:val="28"/>
        </w:rPr>
        <w:t xml:space="preserve">Escena 2 · 23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Comprueba las cinco piezas de tu alta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Las cinco piezas del alta, en una lista para comprobar una a una.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Tu alta la hace el equipo de SPIDI y te llega por tu canal de soporte, con cinco piezas. El usuario, que es tu alias y no tu correo. La contraseña, que conviene cambiar antes de nada. El identificador de tu cuenta bancaria. La dirección de tu tablero. Y el secreto de webhooks. Compruébalas todas antes de empezar a integrar.</w:t>
      </w:r>
    </w:p>
    <w:p>
      <w:pPr>
        <w:spacing w:before="240"/>
      </w:pPr>
      <w:r>
        <w:rPr>
          <w:b/>
          <w:sz w:val="28"/>
        </w:rPr>
        <w:t xml:space="preserve">Escena 3 · 30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Dos no se recuperan después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Dos de las cinco marcadas como irrecuperables: la cuenta bancaria y el secreto.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de esas cinco, dos merecen atención especial. El identificador de tu cuenta bancaria no hay forma de consultarlo después, así que guárdalo. Y el secreto de webhooks es el que más tarde se echa de menos: sin él no puedes verificar la firma de un aviso, y eso no lo descubres hasta que ya tienes el receptor montado y no entiendes por qué no valida. Si te falta alguno, pídelo por el mismo canal antes de empezar.</w:t>
      </w:r>
    </w:p>
    <w:p>
      <w:pPr>
        <w:spacing w:before="240"/>
      </w:pPr>
      <w:r>
        <w:rPr>
          <w:b/>
          <w:sz w:val="28"/>
        </w:rPr>
        <w:t xml:space="preserve">Escena 4 · 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El token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Lámina de sección, sin voz.</w:t>
      </w:r>
    </w:p>
    <w:p>
      <w:r>
        <w:t xml:space="preserve">(sin narración: lámina de transición, en silencio)</w:t>
      </w:r>
    </w:p>
    <w:p>
      <w:pPr>
        <w:spacing w:before="240"/>
      </w:pPr>
      <w:r>
        <w:rPr>
          <w:b/>
          <w:sz w:val="28"/>
        </w:rPr>
        <w:t xml:space="preserve">Escena 5 · 17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Lo obtienes al iniciar sesión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El login devolviendo el token, y el token viajando en la cabecera de cada llamada.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Con las credenciales en la mano, el token. La API usa Bearer token, y lo obtienes iniciando sesión con tu usuario y tu contraseña. La respuesta trae el token, y a partir de ahí lo envías en la cabecera de autorización de cada llamada.</w:t>
      </w:r>
    </w:p>
    <w:p>
      <w:pPr>
        <w:spacing w:before="240"/>
      </w:pPr>
      <w:r>
        <w:rPr>
          <w:b/>
          <w:sz w:val="28"/>
        </w:rPr>
        <w:t xml:space="preserve">Escena 6 · 14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Y producción es otro juego entero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Cierre de marca; dos juegos de credenciales separados, pruebas y producción.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Por último, el entorno. Al pasar a producción recibes otro juego completo de credenciales —las de pruebas no sirven— más la dirección base de producción. No es un cambio de URL: es empezar con credenciales nuevas.</w:t>
      </w:r>
    </w:p>
    <w:p>
      <w:r>
        <w:t xml:space="preserve"/>
      </w:r>
    </w:p>
    <w:p>
      <w:r>
        <w:t xml:space="preserve">Para comentarlo: usa control de cambios o comentarios de Word y adjunta este fichero al correo del enlace «comentar su vídeo» de la página.</w:t>
      </w:r>
    </w:p>
    <w:sectPr/>
  </w:body>
</w:document>
</file>